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 w:rsidRPr="009B0C1A">
        <w:rPr>
          <w:rFonts w:ascii="Calibri" w:hAnsi="Calibri" w:cs="Calibri"/>
        </w:rPr>
        <w:t>Зарегистрировано в Минюсте России 27 февраля 2015 г. N 36268</w:t>
      </w:r>
    </w:p>
    <w:p w:rsidR="009B0C1A" w:rsidRPr="009B0C1A" w:rsidRDefault="009B0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ПРИКАЗ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ОБ УТВЕРЖДЕНИИ ПОРЯДКА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ВЗРОСЛОГО НАСЕЛЕНИЯ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соответствии со статьей 46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1. Утвердить порядок проведения диспансеризации определенных групп взрослого населения согласно приложению.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2. Признать утратившим силу приказ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3. Настоящий приказ вступает в силу с 1 апреля 2015 года.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Врио Министра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Д.В.КОСТЕННИКОВ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9B0C1A">
        <w:rPr>
          <w:rFonts w:ascii="Calibri" w:hAnsi="Calibri" w:cs="Calibri"/>
        </w:rPr>
        <w:t>Приложение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приказу 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9B0C1A">
        <w:rPr>
          <w:rFonts w:ascii="Calibri" w:hAnsi="Calibri" w:cs="Calibri"/>
          <w:b/>
          <w:bCs/>
        </w:rPr>
        <w:t>ПОРЯДОК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ВЗРОСЛОГО НАСЕЛЕНИЯ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работающие граждане;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неработающие граждане;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обучающиеся в образовательных организациях по очной форме.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&lt;1&gt; Статья 46 Федерального закона от 21 ноября 2011 г. N 323-ФЗ "Об основах охраны </w:t>
      </w:r>
      <w:r w:rsidRPr="009B0C1A"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4. Диспансеризация проводится 1 раз в 3 года в возрастные периоды, предусмотренные приложением N 1 к настоящему Порядку &lt;1&gt;, за исключением: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9B0C1A"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В соответствии со статьей 4, подпунктом 11 пункта 1 статьи 14 и пунктом 2 статьи 15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В соответствии с подпунктом 1 пункта 2 статьи 18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 w:rsidRPr="009B0C1A">
        <w:rPr>
          <w:rFonts w:ascii="Calibri" w:hAnsi="Calibri" w:cs="Calibri"/>
        </w:rPr>
        <w:t xml:space="preserve"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</w:t>
      </w:r>
      <w:r w:rsidRPr="009B0C1A">
        <w:rPr>
          <w:rFonts w:ascii="Calibri" w:hAnsi="Calibri" w:cs="Calibri"/>
        </w:rPr>
        <w:lastRenderedPageBreak/>
        <w:t>исключением лиц, инвалидность которых наступила вследствие их противоправных действий)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В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Указанные в подпунктах 1 - 3 настоящего пункта категории граждан проходят диспансеризацию ежегодно вне зависимости от возраста.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N 1 к настоящему Порядку.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Диспансеризация граждан, указанных в подпунктах 1 - 3 пункта 4 настоящего Порядка, проводится в объеме, соответствующем объему диспансеризации, предусмотренному 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</w:t>
      </w:r>
      <w:r w:rsidRPr="009B0C1A">
        <w:rPr>
          <w:rFonts w:ascii="Calibri" w:hAnsi="Calibri" w:cs="Calibri"/>
        </w:rPr>
        <w:lastRenderedPageBreak/>
        <w:t>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При наличии необходимого оборудования.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участие в оформлении (ведении) медицинской документации;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подведение итогов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13. Диспансеризация проводится в два этапа.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7"/>
      <w:bookmarkEnd w:id="6"/>
      <w:r w:rsidRPr="009B0C1A">
        <w:rPr>
          <w:rFonts w:ascii="Calibri" w:hAnsi="Calibri" w:cs="Calibri"/>
        </w:rP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антропометрию (измерение роста стоя, массы тела, окружности талии), расчет индекса массы тела;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измерение артериального давления;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 w:rsidRPr="009B0C1A"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2"/>
      <w:bookmarkEnd w:id="8"/>
      <w:r w:rsidRPr="009B0C1A">
        <w:rPr>
          <w:rFonts w:ascii="Calibri" w:hAnsi="Calibri" w:cs="Calibri"/>
        </w:rPr>
        <w:t>5) определение уровня глюкозы в крови экспресс-методом (допускается лабораторный метод);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9) флюорографию легких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За исключением случаев невозможности проведения исследования по медицинским показаниям в связи с мастэктомией. При проведения в год прохождения диспансеризации компьютерной томографии молочных желез маммография не проводится.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14) общий анализ мочи;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0"/>
      <w:bookmarkEnd w:id="9"/>
      <w:r w:rsidRPr="009B0C1A"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6"/>
      <w:bookmarkEnd w:id="10"/>
      <w:r w:rsidRPr="009B0C1A">
        <w:rPr>
          <w:rFonts w:ascii="Calibri" w:hAnsi="Calibri" w:cs="Calibri"/>
        </w:rPr>
        <w:t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 г. N 323-ФЗ "Об основах охраны здоровья граждан в Российской Федерации".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14 настоящего Порядка, а также отказов граждан от прохождения отдельных осмотров, исследований и мероприятий.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В соответствии с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Второй этап диспансеризации считается законченным в случае выполнения осмотров, исследований и иных медицинских мероприятий, указанных в пункте 13.2 настоящего Порядка, необходимость проведения которых определена по результатам первого и второго этапов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3"/>
      <w:bookmarkEnd w:id="11"/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9B0C1A">
        <w:rPr>
          <w:rFonts w:ascii="Calibri" w:hAnsi="Calibri" w:cs="Calibri"/>
        </w:rPr>
        <w:t>Приложение N 1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порядку проведения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диспансеризации определенных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групп взрослого населения,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утвержденному приказом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2"/>
      <w:bookmarkEnd w:id="12"/>
      <w:r w:rsidRPr="009B0C1A">
        <w:rPr>
          <w:rFonts w:ascii="Calibri" w:hAnsi="Calibri" w:cs="Calibri"/>
        </w:rPr>
        <w:t>ОБЪЕМ ДИСПАНСЕРИЗАЦИИ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14"/>
      <w:bookmarkEnd w:id="13"/>
      <w:r w:rsidRPr="009B0C1A">
        <w:rPr>
          <w:rFonts w:ascii="Calibri" w:hAnsi="Calibri" w:cs="Calibri"/>
        </w:rPr>
        <w:t>Перечень осмотров врачами-специалистами,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исследований и иных медицинских мероприятий, проводимых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B0C1A" w:rsidRPr="009B0C1A" w:rsidSect="007E1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435"/>
        <w:gridCol w:w="13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4"/>
        <w:gridCol w:w="364"/>
        <w:gridCol w:w="51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B0C1A" w:rsidRPr="009B0C1A"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0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Возраст (лет)</w:t>
            </w:r>
          </w:p>
        </w:tc>
      </w:tr>
      <w:tr w:rsidR="009B0C1A" w:rsidRPr="009B0C1A"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99</w:t>
            </w:r>
          </w:p>
        </w:tc>
      </w:tr>
      <w:tr w:rsidR="009B0C1A" w:rsidRPr="009B0C1A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247"/>
            <w:bookmarkEnd w:id="14"/>
            <w:r w:rsidRPr="009B0C1A"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относительного суммарного сердечно-сосудистого риска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абсолютного суммарного 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7. Электрокардиография (в покое) &lt;1&gt;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16. Ультразвуковое исследование (УЗИ) на предмет исключения новообразований органов брюшной полости, малого таза и аневризмы брюшной аорты &lt;2&gt;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мужчин УЗИ поджелудочной железы, почек, простаты и брюшной аорты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" w:name="Par839"/>
            <w:bookmarkEnd w:id="15"/>
            <w:r w:rsidRPr="009B0C1A">
              <w:rPr>
                <w:rFonts w:ascii="Calibri" w:hAnsi="Calibri" w:cs="Calibri"/>
              </w:rPr>
              <w:t>Второй этап диспансеризации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</w:tbl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B0C1A" w:rsidRPr="009B0C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3"/>
      <w:bookmarkEnd w:id="16"/>
      <w:r w:rsidRPr="009B0C1A">
        <w:rPr>
          <w:rFonts w:ascii="Calibri" w:hAnsi="Calibri" w:cs="Calibri"/>
        </w:rPr>
        <w:t>&lt;1&gt; Для мужчин в возрасте до 35 лет и для женщин в возрасте до 45 лет при первичном прохождении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4"/>
      <w:bookmarkEnd w:id="17"/>
      <w:r w:rsidRPr="009B0C1A"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70"/>
      <w:bookmarkEnd w:id="18"/>
      <w:r w:rsidRPr="009B0C1A">
        <w:rPr>
          <w:rFonts w:ascii="Calibri" w:hAnsi="Calibri" w:cs="Calibri"/>
        </w:rPr>
        <w:t>Приложение N 2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порядку проведения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диспансеризации определенных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групп взрослого населения,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утвержденному приказом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9"/>
      <w:bookmarkEnd w:id="19"/>
      <w:r w:rsidRPr="009B0C1A">
        <w:rPr>
          <w:rFonts w:ascii="Calibri" w:hAnsi="Calibri" w:cs="Calibri"/>
        </w:rPr>
        <w:t>ДИАГНОСТИЧЕСКИЕ КРИТЕРИИ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ФАКТОРОВ РИСКА И ДРУГИХ ПАТОЛОГИЧЕСКИХ СОСТОЯНИЙ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И ЗАБОЛЕВАНИЙ, ПОВЫШАЮЩИХ ВЕРОЯТНОСТЬ РАЗВИТИЯ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ХРОНИЧЕСКИХ НЕИНФЕКЦИОННЫХ ЗАБОЛЕВАНИЙ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здоровьем, 10 пересмотра.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E78).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Гипергликемия - уровень глюкозы плазмы натощак 6,1 ммоль/л и более (кодируется по МКБ-10 кодом R73.9) либо наличие сахарного диабета, в том числе в случае, если в результате эффективной терапии достигнута нормогликемия.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Курение табака - ежедневное выкуривание по крайней мере одной сигареты и более (кодируется по МКБ-10 кодом Z72.0).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Избыточная масса тела - индекс массы тела 25 - 29,9 кг/м2 и более (кодируется по МКБ-10 кодом R63.5).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Ожирение - индекс массы тела 30 кг/м2 и более (кодируется по МКБ-10 кодом E66).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 (кодируется по МКБ-10 кодом Z72.3)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сердечно-сосудистым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2A35" w:rsidRPr="009B0C1A" w:rsidRDefault="00612A35"/>
    <w:sectPr w:rsidR="00612A35" w:rsidRPr="009B0C1A" w:rsidSect="000E26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1A"/>
    <w:rsid w:val="000E26D7"/>
    <w:rsid w:val="0016225D"/>
    <w:rsid w:val="00612A35"/>
    <w:rsid w:val="00824210"/>
    <w:rsid w:val="009B0C1A"/>
    <w:rsid w:val="00B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Наталья Эдуардовна</dc:creator>
  <cp:lastModifiedBy>Татьяна Борисовна Баринова</cp:lastModifiedBy>
  <cp:revision>2</cp:revision>
  <dcterms:created xsi:type="dcterms:W3CDTF">2017-11-08T06:26:00Z</dcterms:created>
  <dcterms:modified xsi:type="dcterms:W3CDTF">2017-11-08T06:26:00Z</dcterms:modified>
</cp:coreProperties>
</file>