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"Направление на медико-социальную экспертизу"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49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 СЭМД. Интеграция с РЭМД. СЭМД "Направление на медико-социальную экспертизу"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"Направление на медико-социальную экспертизу"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"Направление на медико-социальную экспертизу"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Учет направлений на МСЭ и ответов от Бюро. Интеграция с РЭМД. СЭМД "Направление на медико-социальную экспертизу"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42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Врачебная комиссия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МСЭ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Медико-социальная экспертиза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"Направление на медико-социальную экспертизу"" (далее – Компонент).</w:t>
      </w:r>
    </w:p>
    <w:p w:rsidRPr="00E16162">
      <w:r w:rsidRPr="00E16162">
        <w:t>Документ "Направление на медико-социальную экспертизу" выдается медицинским учреждением, осуществляющим наблюдение или прием больных, и несет в себе информацию, необходимую для оказания пациенту консультативно-диагностических услуг, специализированного лечения в стационаре или медицинской реабилитации. Документ может использоваться как при направлении пациента в стороннее медицинское учреждение, так и между разными структурными подразделениями и филиалами одной организации.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 СЭМД. Интеграция с РЭМД. СЭМД "Направление на медико-социальную экспертизу"</w:t>
      </w:r>
      <w:bookmarkEnd w:id="7"/>
      <w:bookmarkEnd w:id="6"/>
    </w:p>
    <w:p w:rsidRPr="00E16162">
      <w:r w:rsidRPr="00E16162">
        <w:t>СЭМД "Направление на медико-социальную экспертизу" может быть сформирован только председателем ВК на основании оказанной услуги "Направление на МСЭ" в карте медосмотра пациента. Для корректного формирования СЭМД в окне оказания услуги должны быть заполнены описанные ниже поля.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50620"/>
            <wp:docPr id="100003" name="" descr="Окно добавле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506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добавления приема</w:t>
      </w:r>
    </w:p>
    <w:p w:rsidRPr="00E16162">
      <w:r w:rsidRPr="00E16162">
        <w:t>Описание полей окна оказания приема</w:t>
      </w:r>
    </w:p>
    <w:p w:rsidRPr="00E16162">
      <w:pPr>
        <w:pStyle w:val="Caption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Описание полей окна оказания приема</w:t>
      </w:r>
    </w:p>
    <w:tbl>
      <w:tblPr>
        <w:tblStyle w:val="ScrollTableNormal"/>
        <w:tblW w:w="5000" w:type="pct"/>
        <w:tblLook w:val="0020"/>
      </w:tblPr>
      <w:tblGrid>
        <w:gridCol w:w="2653"/>
        <w:gridCol w:w="2146"/>
        <w:gridCol w:w="5095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8" w:name="scroll-bookmark-5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8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"Данные"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оказания визита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оказания визита. По умолчанию устанавливается текущая дата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Время оказания визита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время оказания визита вручную. По умолчанию устанавливается текущая дата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Бюро МСЭ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основной таблицы ЛПУ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Условия оказания мед. помощи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 № Протокола ВК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протокола врачебной комиссии МО, содержащего решение о направлении пациента на МСЭ, вручную. Поле заполняется для корректного формирования и подписания СЭМД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 Дата ВК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протокола врачебной комиссии МО, содержащего решение о направлении пациента на МСЭ. Поле заполняется для корректного формирования и подписания СЭМД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Конфиденциальность медицинского документа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Степень конфиденциальности протокола врачебной комиссии МО, содержащего решение о направлении пациента на МСЭ.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списка. Для выбора доступны следующие возможные значения: "Обычный", "Ограниченный", "Крайне ограниченный"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 МСЭ необходимо проводить на дому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 по состоянию здоровья не может явиться в бюро (главное бюро, Федеральное бюро) МСЭ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п3. Гражданин нуждается в оказании паллиативной медицинской помощи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флажок, если гражданин нуждается в оказании паллиативной медицинской помощи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П.4 Дата выдачи направления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 выдачи гражданину направления на МСЭ медицинской организацией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Гражданин, находящийся на лечении в стационаре в связи с операцией по ампутации (реампутации) конечности (конечностей), нуждающийся в первичном протезировании (при нуждаемости в первичном протезировании)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пациент, находящийся на лечении в стационаре в связи с операцией по ампутации (реампутации) конечности (конечностей), нуждается в первичном протезировании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п.5 Цель направления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цель направления из выпадающего списка.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– Поле с выпадающим списком появляется при нажатии на кнопку "Добавить"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п.10 Отношение к воинской обязанности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списка. Для несовершеннолетних пациентов следует указывать значение "Гражданин, не состоящий на воинском учете"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п.13 Гражданин находится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текущее местонахождение пациента из выпадающего списка. В зависимости от того, какое значение выбрано, действуют следующие правила заполнения сопутствующих полей:</w:t>
            </w:r>
          </w:p>
          <w:p>
            <w:pPr>
              <w:pStyle w:val="ScrollListBullet"/>
              <w:numPr>
                <w:ilvl w:val="0"/>
                <w:numId w:val="2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если выбрано значение "В медицинской организации, оказывающей медицинскую помощь в стационарных условиях", "В организации социального обслуживания", "В исправительном учреждении" или "Иная организация", то необходимо заполнение полей "Адрес организации из пункта 13", "Номер дома из пункта 13" и "ОГРН организации из пункта 13";</w:t>
            </w:r>
          </w:p>
          <w:p>
            <w:pPr>
              <w:pStyle w:val="ScrollListBullet"/>
              <w:numPr>
                <w:ilvl w:val="0"/>
                <w:numId w:val="2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если выбрано значение "По месту жительства (по месту пребывания, фактического проживания на территории Российской Федерации)", то заполнение полей "Адрес организации из пункта 13", "Номер дома из пункта 13" и "ОГРН организации из пункта 13" не требуется. В этом случае будет передаваться адрес проживания/пребывания пациента, который указан в персональной медицинской карте пациента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Адрес организации из пункта 13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адрес из справочника "Географические понятия"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дома из пункта 13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дома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 организации из пункта 13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ОГРН организации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п.18 Направляется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19.1 Гражданин (его законный или уполномоченный представитель) дал согласие на направление и проведение медико-социальной экспертизы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 согласия на направление и проведение МСЭ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19.3 Предпочтительный способ получения уведомления о проведении медико-социальной экспертизы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Примечание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– Поле с выпадающим списком появляется при нажатии на кнопку "Добавить"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19.2 Предпочтительная форма проведения медико-социальной экспертизы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предпочтительную форму проведения МСЭ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п.19 Сведения о результатах предыдущей медико-социальной экспертизы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сведения о результатах предыдущей МСЭ вручную. Поле заполняется в том случае, если пациент ранее уже проходил МСЭ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п.20.1 Наличие инвалидности на момент направления на медико-социальную экспертизу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п.20.1.4 Категория ребенок-инвалид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Флажок устанавливается в случае, если пациенту установлена категория инвалидности "ребенок-инвалид"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20.2. дата, до которой установлена инвалидность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дату, до которой пациенту установлена инвалидность. Поле заполняется для корректного формирования и подписания СЭМД в том случае, если заполнено поле "п.20.1 Наличие инвалидности на момент направления на медико-социальную экспертизу" и инвалидность установлена до конкретной даты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20.2.1 дата, до которой установлена инвалидность (бессрочно)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дату, до которой пациенту установлена инвалидность (бессрочно), вручную. Поле заполняется для корректного формирования и подписания СЭМД в том случае, если заполнено поле "п.20.1 Наличие инвалидности на момент направления на медико-социальную экспертизу" и инвалидность установлена бессрочно (без конкретной даты)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20.3 Период, в течение которого гражданин находился на инвалидности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период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Срок, на который установлена инвалидность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20.4 Причина инвалидности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причину инвалидности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Если выбран пункт 20.4.17, укажите причину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причину инвалидности пациента вручную. Указывается в случае, если в поле "п 20.4 Причина инвалидности" выбрано значение "20.4.27 Иные причины, предусмотренные законодательством Российской Федерации (указать)"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Если выбран пункт 20.4.18, укажите причину инвалидности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причину инвалидности пациента вручную. Указывается в случае, если в поле "п 20.4 Причина инвалидности" выбрано значение "20.4.18 Причины инвалидности, установленные в соответствии с законодательством, действовавшим на момент установления инвалидности (указать):".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п20.5 Степень утраты профессиональной трудоспособности, в процентах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степень утраты пациентом профессиональной трудоспособности (целое число от 0 до 100) в процентах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п.20.6 Срок, на который установлена степень утраты профессиональной трудоспособности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20.7. Дата, до которой установлена степень утраты проф. трудоспособности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дату, до которой установлена степень утраты пациентом профессиональной трудоспособности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п20.8 Степени утраты проф. трудоспособности (в %), установленные по повторным несчастным случаям, и даты, до которых они установлены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степени утраты пациентом профессиональной трудоспособности (в процентах), установленные по повторным несчастным случаям, и даты, до которых эти степени установлены,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21.1. Наименование обр. учреждения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образовательного учреждения пациента на момент направления на МСЭ вручную. Поле заполняется автоматически, если пациент проходил обучение на момент направления на МСЭ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21.1. Адрес обр. учреждения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адрес образовательного учреждения из справочника "Географические понятия" 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дома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дома, в котором расположено образовательное учреждение пациента,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офиса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офиса, в котором расположено образовательное учреждение пациента,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21.2 Курс, класс, возрастная группа детского дошкольного учреждения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инф-цию из пункта 21.2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дополнительную информация о курсе, классе или группе детского дошкольного учреждения, где обучается пациент,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п21.3 Профессия (специальность), для получения которой проводится обучение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профессию (специальность), по которой обучается пациент, вручную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22 Сведения о трудовой деятельности: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22.1 Основная профессия (специальность, должность)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основную профессию (специальность, должность)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22.2 Квалификация по основной профессии (класс, разряд, категория, звание)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квалификацию (класс, разряд, категория, звание) по основной профессии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22.3 Стаж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стаж пациента по основной профессии вручную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22.4 Выполняемая работа на момент направления МСЭ: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профессия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профессию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специальность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специальность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должность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должность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22.5 Условия и характер выполняемого труда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22.6 Место работы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Место работы пациента. Поле не подлежит редактированию и заполняется автоматически, если пациент работал на момент направления на МСЭ. 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 22.7 Адрес места работы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Адрес места работы пациента. Поле не подлежит редактированию и заполняется автоматически, если пациент работал на момент направления на МСЭ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"Данные о представителе"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4"/>
              </w:rPr>
              <w:t>п17.2 Документ, удостоверяющий полномочия представителя. п.17.2.1 Наименование документа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Поле заполняется для корректного формирования и подписания СЭМД в случае, если пациент не достиг совершеннолетнего возраста и при условии, что в персональной медицинской карте пациента указаны данные о законном представителе.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наименование документа из выпадающего списка.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 соответствии с указанным в поле документом автоматически заполняются поля "п.17.2.2 Серия", "п.17.2.2 Номер", "п.17.2.3 Кем выдан", "п.17.2.4 Дата выдачи" при условии, что выбранный документ добавлен в персональную медицинскую карту контрагента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п.17.2.2 Серия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серию документа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п.17.2.2 Номер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документа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п.17.2.3 Кем выдан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органа, выдавшего документ законному представителю,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п.17.2.4 Дата выдачи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выдачи документа законного представителя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п17.6.1 Если опека возложена на юридическое лицо, укажите наименование организации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организации, на которую возложена опека над пациентом, вручную. Поле заполняется для корректного формирования и подписания СЭМД в случае, если пациент не достиг совершеннолетнего возраста и при условии, что опека возложена на юридическое лицо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п17.6.2 Адрес организации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адрес организации, осуществляющей опеку над пациентом, из справочника "Географические понятия"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дома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дома, в котором расположена организация, осуществляющей опеку над пациентом,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Номер офиса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офиса, в котором расположена организация, осуществляющей опеку над пациентом,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17.6.3 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ОГРН организации, осуществляющей опеку над пациентом, вручную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"Основное"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п.23 Наблюдается в организациях, оказывающих лечебно-профилактическую помощь c года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год, с которого пациент наблюдается в организациях, оказывающих лечебно-профилактическую помощь,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п.24 История заболевания (начало, развитие, частота и длительность обострений, проведенные мероприятия и их эффективность)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историю заболевания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п.24 История заболевания (продолжение)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историю заболевания пациента вручную (если в предыдущем поле более 16000 символов)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п.25 Анамнез жизни (перенесенные заболевания, травмы, операции) заполняется при первичном направлении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анамнез жизни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п27. Результаты и эффективность проведенных мероприятий медицинской реабилитации. Восстановление нарушенных функций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Достижение компенсации утраченных либо отсутствующих функций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п.26 доп. информация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дополнительную информацию по результатам и эффективности проведенных пациенту мероприятий медицинской реабилитации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п.26 № ИПРА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ИПРА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 протоколу проведения МСЭ №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протокола проведения МСЭ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протокола МСЭ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протокола проведения МСЭ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"Результаты доп. исследований"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измерения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и время проведения антропометрических и физиологических измерений пациента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28.3 Индекс массы тела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Поле не подлежит редактированию и заполняется автоматически в случае, если у пациента в персональной медицинской карте указаны антропометрические измерения. 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Индекс массы тела рассчитывается автоматически на основе значений в полях "п.28.1 Рост (см)" и "п.28.2 Вес (кг)".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п.28.1 Рост (см)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рост пациента вручную. Поле заполняется автоматически в случае, если у пациента в персональной медицинской карте указаны антропометрические измерения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п.28.2 Вес (кг)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вес пациента вручную. Поле заполняется автоматически в случае, если у пациента в персональной медицинской карте указаны антропометрические измерения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п27.4 Телосложение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телосложение пациента из выпадающего списка с помощью кнопки. Поле заполняется автоматически в случае, если у пациента в персональной медицинской карте указаны антропометрические измерения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п28.5 Суточный объем физиологических отправлений(мл)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суточный объем физиологических отправлений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п.28.6 Объем талии(см)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объем талии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п.28.6 Объем бедер(см)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объем бедер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п.28.7 Масса тела при рождении (Дети до 3-х лет), кг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массу тела пациента при рождении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п27.8 Оценка физического развития (Дети до 3-х лет)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информацию о физическом развитии пациента вручную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"Состояние гражданина"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п.29 Состояние гражданина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состоянии здоровья гражданина при направлении на МСЭ.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0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4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3119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0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5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4609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6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1125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п.29.1 Жалобы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Жалобы гражданина на состояние своего здоровья.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1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7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9793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1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8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3872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09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0322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п.29 Состояние гражданина (продолжение 2)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состоянии здоровья гражданина при направлении на МСЭ (продолжение).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2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0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1727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2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1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4557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2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188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п.29 Состояние гражданина (продолжение)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состоянии здоровья гражданина при направлении на МСЭ (продолжение).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3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3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71206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3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4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2598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5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1913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п.29 Состояние гражданина (продолжение 3)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Информация о состоянии здоровья гражданина при направлении на медико-социальную экспертизу (продолжение).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4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6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146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4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кнопка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7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470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18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6503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"Временная нетрудоспособность"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 предназначена для формирования сведений о частоте и длительности временной нетрудоспособности за последние 12 месяцев. Подробнее описано в разделе "</w:t>
            </w:r>
            <w:hyperlink r:id="rId14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Формирование сведений о временной нетрудоспособности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"Сведения о медицинских обследованиях"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предназначена для формирования сведений о медицинских обследованиях, необходимых для получения клинико-функциональных данных в зависимости от заболевания при проведении медико-социальной экспертизы. Подробнее описано в разделе "</w:t>
            </w:r>
            <w:hyperlink r:id="rId15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Формирование сведений о медицинских обследованиях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"Диагноз"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МКБ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код основного заболевания пациента из справочника МКБ-10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Диагноз врача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наименование основного заболевания пациента вручную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– Поле "Диагноз врача" заполняется автоматически после заполнения поля "МКБ"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Стадия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стадию основного заболевания из выпадающего списка 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Внешняя причина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внешнюю причину возникновения основного заболевания пациента из справочника МКБ-10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Тип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тип диагноза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выявления основного диагноза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выявления основного заболевания пациента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Осложнения основного диагноза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Осложнение добавляется с помощью кнопки "Добавить". При нажатии на кнопку отобразятся дополнительные поля:</w:t>
            </w:r>
          </w:p>
          <w:p>
            <w:pPr>
              <w:pStyle w:val="ScrollListBullet"/>
              <w:numPr>
                <w:ilvl w:val="0"/>
                <w:numId w:val="35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"МКБ" – выберите код осложнения основного заболевания из справочника МКБ-10;</w:t>
            </w:r>
          </w:p>
          <w:p>
            <w:pPr>
              <w:pStyle w:val="ScrollListBullet"/>
              <w:numPr>
                <w:ilvl w:val="0"/>
                <w:numId w:val="35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"Диагноз врача" – поле заполняется автоматически после заполнения поля "МКБ", а так же вводится вручную.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 осложнения выполняется с помощью кнопки "Удалить"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выявления осложнения основного диагноза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 и время выявления осложнений основного заболевания пациента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Диагнозы сопутствующие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сопутствующих заболеваний пациента.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Заболевание добавляется с помощью кнопки "Добавить". При нажатии на кнопку отобразятся дополнительные поля:</w:t>
            </w:r>
          </w:p>
          <w:p>
            <w:pPr>
              <w:pStyle w:val="ScrollListBullet"/>
              <w:numPr>
                <w:ilvl w:val="0"/>
                <w:numId w:val="36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"МКБ" – код сопутствующего заболевания по МКБ. Выбирается из "Справочника МКБ-10"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190500" cy="219075"/>
                  <wp:docPr id="100019" name="" descr="_scroll_external/attachments/tri-tochki-9ea0aaffa1cfa9567ee85fc401f47f01814e17bbf925b14ef261adfebbde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27347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. В открывшемся окне необходимо выбрать диагноз и нажать на кнопку "Ок";</w:t>
            </w:r>
          </w:p>
          <w:p>
            <w:pPr>
              <w:pStyle w:val="ScrollListBullet"/>
              <w:numPr>
                <w:ilvl w:val="0"/>
                <w:numId w:val="36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"Диагноз врача" – наименование сопутствующего заболевания. Заполняется автоматически после заполнения поля "МКБ", а так же вводится с клавиатуры.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 осложнения выполняется с помощью кнопки "Удалить"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Осложнения сопутствующего диагноза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Осложнение добавляется с помощью кнопки "Добавить". При нажатии на кнопку отобразятся дополнительные поля:</w:t>
            </w:r>
          </w:p>
          <w:p>
            <w:pPr>
              <w:pStyle w:val="ScrollListBullet"/>
              <w:numPr>
                <w:ilvl w:val="0"/>
                <w:numId w:val="37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"МКБ" – выберите код осложнения сопутствующего заболевания из справочника МКБ-10";</w:t>
            </w:r>
          </w:p>
          <w:p>
            <w:pPr>
              <w:pStyle w:val="ScrollListBullet"/>
              <w:numPr>
                <w:ilvl w:val="0"/>
                <w:numId w:val="37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"Диагноз врача" – поле заполняется автоматически после заполнения поля "МКБ", а так же вводится вручную.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 осложнения выполняется с помощью кнопки "Удалить"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выявления осложнения сопутствующего диагноза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или выберите из календаря дату и время выявления осложнений основного заболевания пациента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"Прогнозы/Рекомендации"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п.32 Клинический прогноз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клинический прогноз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п.33 Реабилитационный потенциал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реабилитационный потенциал из выпадающего списка 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п.34 Реабилитационный прогноз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✅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реабилитационный прогноз из выпадающего списка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п.35 Рекомендуемые мероприятия по медицинской реабилитации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рекомендуемых пациенту мероприятий по медицинской реабилитации.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Вводится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pStyle w:val="ScrollListBullet"/>
              <w:numPr>
                <w:ilvl w:val="0"/>
                <w:numId w:val="38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кнопка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20" name="" descr="_scroll_external/attachments/worddav6ff7e2893d3238222124c8b826a5c087-5b13c9d2364a6d65340a8669ea669a846e62ed3fefea709802acd5768ecd6b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4819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pStyle w:val="ScrollListBullet"/>
              <w:numPr>
                <w:ilvl w:val="0"/>
                <w:numId w:val="38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кнопка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21" name="" descr="_scroll_external/attachments/worddav4bb282fb9ff668d2d265d93d862357a6-5262c66df3b7b9f0cdea2e0053dc333535457f12353057b30d2e50051185dd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4706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 содержимого в правом блоке выполняется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09550" cy="209550"/>
                  <wp:docPr id="100022" name="" descr="_scroll_external/attachments/worddav37f818bc7b7d5ea47460a409e745ccdc-db882ae2d3c2bd9b5eab0b0729a6050e3acc86e445edb17abc554bba86edd6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3114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п.36 Рекомендуемые мероприятия по реконструктивной хирургии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перечень рекомендуемых пациенту мероприятий по реконструктивной хирургии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Вложение/документы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прикладываемых документов, содержащих прогнозы и рекомендации пациенту добавляется с помощью кнопки "Добавить". Нажмите на ссылку "Выбрать...", чтобы загрузить документ.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Удаление приложенного документа выполняется с помощью ссылки "Удалить"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п.37 Рекомендуемые мероприятия по протезированию и ортезированию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перечень рекомендуемых пациенту мероприятий по протезированию и ортезированию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 38 Санаторно-курортное лечение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информацию вручную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п.38 Посторонний специальный медицинский уход (заполняется в отношении граждан, пострадавших в результате несчастных случаев на производстве)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рекомендуемый пациенту посторонний специальный медицинский уход (заполняется в отношении граждан, пострадавших в результате несчастных случаев на производстве) вручную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"Лекарственные препараты и мед. изделия"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используется для формирования перечня лекарственных препаратов для медицинского применения и медицинских изделий (заполняется в отношении граждан, пострадавших в результате несчастных случаев на производстве и профессиональных заболеваний). Подробнее описано в разделе "</w:t>
            </w:r>
            <w:hyperlink r:id="rId17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Формирование перечня лекарственных препаратов и медицинских изделий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"Состав комиссии"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используется для заполнения состава комиссии. Подробнее описано в разделе "</w:t>
            </w:r>
            <w:hyperlink r:id="rId18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Формирование врачебной комиссии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"Направления"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используется для направления пациента на услуги. Подробнее описано в руководстве пользователя "</w:t>
            </w:r>
            <w:hyperlink r:id="rId19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Врач поликлиники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"Отчеты"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используется для печати направления на МСЭ. Подробнее описано в разделе "</w:t>
            </w:r>
            <w:hyperlink r:id="rId20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Печать направления на медико-социальную экспертизу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Вкладка "Документы"</w:t>
            </w:r>
          </w:p>
        </w:tc>
      </w:tr>
      <w:tr>
        <w:tblPrEx>
          <w:tblW w:w="5000" w:type="pct"/>
          <w:tblLook w:val="0020"/>
        </w:tblPrEx>
        <w:tc>
          <w:tcPr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Вкладка предназначена для формирования СЭМД, подписания документа с помощью ЭЦП, выбора участников подписания документа, отправки документа в РЭМД. Подробнее описано в руководстве пользователя "</w:t>
            </w:r>
            <w:hyperlink r:id="rId21" w:history="1">
              <w:r>
                <w:rPr>
                  <w:rStyle w:val="Hyperlink"/>
                  <w:rFonts w:ascii="Times New Roman" w:eastAsia="Times New Roman" w:hAnsi="Times New Roman" w:cs="Times New Roman"/>
                  <w:sz w:val="20"/>
                  <w:szCs w:val="24"/>
                </w:rPr>
                <w:t>Интеграция с РЭМД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"</w:t>
            </w:r>
          </w:p>
        </w:tc>
      </w:tr>
    </w:tbl>
    <w:p w:rsidRPr="00E16162">
      <w:r w:rsidRPr="00E16162">
        <w:t>Чтобы сформировать СЭМД "Направление на медико-социальную экспертизу", выполните следующие действия: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выберите пункт главного меню "Учет" → "Медосмотры" → "Карты медосмотров". Откроется форма со списком открытых карт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404726"/>
            <wp:docPr id="100023" name="" descr="Список открытых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59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47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Список открытых карт медосмотров</w:t>
      </w:r>
    </w:p>
    <w:p w:rsidRPr="00E16162"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в блоке "Карты медосмотров" найдите требуемую карту медосмотра с типом "Направление на МСЭ";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нажмите на номер найденной карты медосмотра. Откроется окно редактирования карты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952732"/>
            <wp:docPr id="100024" name="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36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5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редактирования карты медосмотра</w:t>
      </w:r>
    </w:p>
    <w:p w:rsidRPr="00E16162"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перейдите на вкладку "Услуги медосмотра", выберите оказанную пациенту услугу "Направление на МСЭ" и нажмите на кнопку </w:t>
      </w:r>
      <w:r w:rsidRPr="00E16162">
        <w:drawing>
          <wp:inline>
            <wp:extent cx="228600" cy="228600"/>
            <wp:docPr id="100025" name="" descr="_scroll_external/attachments/image2022-1-24_16-18-6-68d566d9b29438becf9b18e754199b9ac8ce84248d7d875a36df4a9d0880c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71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. Откроется окно редактирования приема;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266297"/>
            <wp:docPr id="100026" name="" descr="Окно редактиров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58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66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редактирования приема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перейдите на вкладку "Документы" и </w:t>
      </w:r>
      <w:r w:rsidRPr="00E16162">
        <w:t xml:space="preserve">нажмите на кнопку "Сформировать и подписать документы (СЭМД)". </w:t>
      </w:r>
      <w:r w:rsidRPr="00E16162">
        <w:rPr>
          <w:color w:val="172B4D"/>
        </w:rPr>
        <w:t>Откроется окно формирования и подписания электронного документа</w:t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6295390" cy="4928209"/>
            <wp:docPr id="100027" name="" descr="Окно формирования и подпис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80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282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формирования и подписания электронного документа</w:t>
      </w:r>
    </w:p>
    <w:p/>
    <w:p>
      <w:pPr>
        <w:pStyle w:val="ScrollListBullet"/>
        <w:numPr>
          <w:ilvl w:val="0"/>
          <w:numId w:val="43"/>
        </w:numPr>
        <w:ind w:left="1780"/>
      </w:pPr>
      <w:r>
        <w:t>укажите сертификат ЭП автора документа (председателя ВК) в поле "Выберите сертификат";</w:t>
      </w:r>
    </w:p>
    <w:p>
      <w:pPr>
        <w:pStyle w:val="ScrollListBullet"/>
        <w:numPr>
          <w:ilvl w:val="0"/>
          <w:numId w:val="43"/>
        </w:numPr>
        <w:ind w:left="1780"/>
      </w:pPr>
      <w:r>
        <w:t>если ранее была сформирована врачебная комиссия, то её члены и председатель загружаются автоматически;</w:t>
      </w:r>
    </w:p>
    <w:p>
      <w:pPr>
        <w:pStyle w:val="ScrollListBullet"/>
        <w:numPr>
          <w:ilvl w:val="0"/>
          <w:numId w:val="43"/>
        </w:numPr>
        <w:ind w:left="1780"/>
      </w:pPr>
      <w:r>
        <w:t>нажмите на кнопку "Подписать". Произойдет формирование СЭМД "Направление на медико-социальную экспертизу" и сформированный документ отобразится на вкладке "Документы" со статусом "Подписан".</w:t>
      </w:r>
    </w:p>
    <w:p>
      <w:pPr>
        <w:keepNext/>
        <w:spacing w:beforeAutospacing="1"/>
        <w:jc w:val="center"/>
      </w:pPr>
      <w:r>
        <w:drawing>
          <wp:inline>
            <wp:extent cx="6295390" cy="1873732"/>
            <wp:docPr id="100028" name="" descr="Список сформированных электронн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1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73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Список сформированных электронных документов</w:t>
      </w:r>
    </w:p>
    <w:p/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того как документ сформирован и подписан председателем комиссии, документ становится доступным для подписания всем остальным участникам подписания в разделе "Отчеты на подпись". Прежде чем отправить сформированный СЭМД "Направление на медико-социальную экспертизу" в РЭМД, необходимо дождаться его подписания другими участниками, а также лицом, подписывающим документы ЭП МО, в случае, если автор документа (председатель ВК) таким правом не обладает. Требования к составу подписей документов задаются в справочнике ФНСИ "РЭМД. Правила подписи электронных медицинских документов".</w:t>
            </w:r>
          </w:p>
        </w:tc>
      </w:tr>
    </w:tbl>
    <w:p/>
    <w:p w:rsidRPr="00E16162">
      <w:pPr>
        <w:pStyle w:val="Heading1"/>
        <w:ind w:left="851"/>
      </w:pPr>
      <w:bookmarkStart w:id="9" w:name="scroll-bookmark-6"/>
      <w:bookmarkStart w:id="10" w:name="_Toc256000003"/>
      <w:r w:rsidRPr="00E16162">
        <w:t>Подписание СЭМД другими участниками. Интеграция с РЭМД. СЭМД "Направление на медико-социальную экспертизу"</w:t>
      </w:r>
      <w:bookmarkEnd w:id="10"/>
      <w:bookmarkEnd w:id="9"/>
    </w:p>
    <w:p w:rsidRPr="00E16162">
      <w:r w:rsidRPr="00E16162">
        <w:t>Если помимо автора (председателя ВК) СЭМД "Направление на медико-социальную экспертизу" должен быть подписан и другими сотрудниками МО, предусмотренными настройками документа (членами ВК, ЭП МО), то в таком случае эти сотрудники должны войти в Систему и выполнить подписание или отказ в подписании документа. 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8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2"/>
        <w:ind w:left="851"/>
      </w:pPr>
      <w:bookmarkStart w:id="11" w:name="scroll-bookmark-7"/>
      <w:bookmarkStart w:id="12" w:name="_Toc256000004"/>
      <w:r w:rsidRPr="00E16162">
        <w:t>Подписание или отказ в подписании одного документа</w:t>
      </w:r>
      <w:bookmarkEnd w:id="12"/>
      <w:bookmarkEnd w:id="11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0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30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9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3" w:name="scroll-bookmark-8"/>
      <w:bookmarkStart w:id="14" w:name="_Toc256000005"/>
      <w:r w:rsidRPr="00E16162">
        <w:t>Отказ в подписании одного документа с указанием причины отказа</w:t>
      </w:r>
      <w:bookmarkEnd w:id="14"/>
      <w:bookmarkEnd w:id="13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3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16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32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6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5" w:name="scroll-bookmark-9"/>
      <w:bookmarkStart w:id="16" w:name="_Toc256000006"/>
      <w:r w:rsidRPr="00E16162">
        <w:t>Массовое подписание или отказ в подписании документов</w:t>
      </w:r>
      <w:bookmarkEnd w:id="16"/>
      <w:bookmarkEnd w:id="15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3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0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34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16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4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4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17" w:name="scroll-bookmark-10"/>
      <w:bookmarkStart w:id="18" w:name="_Toc256000007"/>
      <w:r w:rsidRPr="00E16162">
        <w:t>Передача СЭМД в РЭМД. Интеграция с РЭМД. СЭМД "Направление на медико-социальную экспертизу"</w:t>
      </w:r>
      <w:bookmarkEnd w:id="18"/>
      <w:bookmarkEnd w:id="17"/>
    </w:p>
    <w:p w:rsidRPr="00E16162">
      <w:r w:rsidRPr="00E16162">
        <w:t>После того как документ "Направление на медико-социальную экспертизу"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19" w:name="scroll-bookmark-11"/>
      <w:bookmarkStart w:id="20" w:name="_Toc256000008"/>
      <w:r w:rsidRPr="00E16162">
        <w:t>Отправка СЭМД на регистрацию в РЭМД автором документа</w:t>
      </w:r>
      <w:bookmarkEnd w:id="20"/>
      <w:bookmarkEnd w:id="19"/>
    </w:p>
    <w:p w:rsidRPr="00E16162">
      <w:r w:rsidRPr="00E16162">
        <w:t xml:space="preserve">Чтобы отправить СЭМД "Направление на </w:t>
      </w:r>
      <w:r w:rsidRPr="00E16162">
        <w:rPr>
          <w:color w:val="333333"/>
        </w:rPr>
        <w:t>медико-социальную экспертизу</w:t>
      </w:r>
      <w:r>
        <w:t>" в РЭМД, выполните следующие действия:</w:t>
      </w:r>
    </w:p>
    <w:p>
      <w:pPr>
        <w:pStyle w:val="ScrollListBullet"/>
        <w:numPr>
          <w:ilvl w:val="0"/>
          <w:numId w:val="55"/>
        </w:numPr>
        <w:ind w:left="1780"/>
      </w:pPr>
      <w:r>
        <w:t>выберите пункт главного меню "Учет" → "Медосмотры" → "Карты медосмотров". Отобразится форма со списком открытых карт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3404726"/>
            <wp:docPr id="100035" name="" descr="Список открытых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9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47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Список открытых карт медосмотров</w:t>
      </w:r>
    </w:p>
    <w:p/>
    <w:p>
      <w:pPr>
        <w:pStyle w:val="ScrollListBullet"/>
        <w:numPr>
          <w:ilvl w:val="0"/>
          <w:numId w:val="56"/>
        </w:numPr>
        <w:ind w:left="1780"/>
      </w:pPr>
      <w:r>
        <w:t>перейдите к блоку "Карты медосмотров" и найдите требуемую карту медосмотра с типом "Направление на МСЭ";</w:t>
      </w:r>
    </w:p>
    <w:p>
      <w:pPr>
        <w:pStyle w:val="ScrollListBullet"/>
        <w:numPr>
          <w:ilvl w:val="0"/>
          <w:numId w:val="56"/>
        </w:numPr>
        <w:ind w:left="1780"/>
      </w:pPr>
      <w:r>
        <w:t>нажмите на номер найденной карты медосмотра. Откроется окно редактирования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3952732"/>
            <wp:docPr id="100036" name="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39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5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Окно редактирования карты медосмотра</w:t>
      </w:r>
    </w:p>
    <w:p/>
    <w:p>
      <w:pPr>
        <w:pStyle w:val="ScrollListBullet"/>
        <w:numPr>
          <w:ilvl w:val="0"/>
          <w:numId w:val="57"/>
        </w:numPr>
        <w:ind w:left="1780"/>
      </w:pPr>
      <w:r>
        <w:t>перейдите на вкладку "Услуги медосмотра", выберите оказанную пациенту услугу "Направление на МСЭ" и нажмите на кнопку </w:t>
      </w:r>
      <w:r>
        <w:drawing>
          <wp:inline>
            <wp:extent cx="228600" cy="228600"/>
            <wp:docPr id="100037" name="" descr="_scroll_external/attachments/image2022-1-24_16-18-6-68343d07b1e6a29b5d5b5f6e6d030267fd03c2d4a5780fbbc7627856cf539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2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приема;</w:t>
      </w:r>
    </w:p>
    <w:p>
      <w:pPr>
        <w:keepNext/>
        <w:spacing w:beforeAutospacing="1"/>
        <w:jc w:val="center"/>
      </w:pPr>
      <w:r>
        <w:drawing>
          <wp:inline>
            <wp:extent cx="6295390" cy="4213676"/>
            <wp:docPr id="100038" name="" descr="Окно редактиров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75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136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Окно редактирования приема</w:t>
      </w:r>
    </w:p>
    <w:p/>
    <w:p>
      <w:pPr>
        <w:pStyle w:val="ScrollListBullet"/>
        <w:numPr>
          <w:ilvl w:val="0"/>
          <w:numId w:val="58"/>
        </w:numPr>
        <w:ind w:left="1780"/>
      </w:pPr>
      <w:r>
        <w:t>перейдите на вкладку "Документы" (или "Электронная подпись") и </w:t>
      </w:r>
      <w:r>
        <w:t>выберите в списке сформированный и подписанный всеми участниками документ "</w:t>
      </w:r>
      <w:r>
        <w:t xml:space="preserve">Направление на </w:t>
      </w:r>
      <w:r>
        <w:rPr>
          <w:color w:val="333333"/>
        </w:rPr>
        <w:t>медико-социальную экспертизу</w:t>
      </w:r>
      <w:r>
        <w:t>";</w:t>
      </w:r>
    </w:p>
    <w:p>
      <w:pPr>
        <w:pStyle w:val="ScrollListBullet"/>
        <w:numPr>
          <w:ilvl w:val="0"/>
          <w:numId w:val="58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3810000" cy="910915"/>
            <wp:docPr id="100039" name="" descr="_scroll_external/attachments/image2022-4-27_10-46-46-378aea0d1478f2a64488179f21f5feadbf9d32e77ffb4e2ea5511f57f522b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19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109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000500" cy="1017603"/>
            <wp:docPr id="100040" name="" descr="_scroll_external/attachments/image2022-4-27_10-52-27-d9e11d9ad95020dcc35a04194c0dacb4f365ccde471ad79cbc554f84b073a1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57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0176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3810000" cy="983988"/>
            <wp:docPr id="10004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93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839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документа".</w:t>
      </w:r>
    </w:p>
    <w:p>
      <w:pPr>
        <w:pStyle w:val="Heading2"/>
        <w:ind w:left="851"/>
      </w:pPr>
      <w:bookmarkStart w:id="21" w:name="scroll-bookmark-12"/>
      <w:bookmarkStart w:id="22" w:name="_Toc256000009"/>
      <w:r>
        <w:t>Отправка СЭМД на регистрацию в РЭМД участником подписания</w:t>
      </w:r>
      <w:bookmarkEnd w:id="22"/>
      <w:bookmarkEnd w:id="21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"Направление на медико-социальную экспертизу" на регистрацию в РЭМД, выполните следующие действия:</w:t>
      </w:r>
    </w:p>
    <w:p>
      <w:pPr>
        <w:pStyle w:val="ScrollListBullet"/>
        <w:numPr>
          <w:ilvl w:val="0"/>
          <w:numId w:val="61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990945"/>
            <wp:docPr id="100042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84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90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62"/>
        </w:numPr>
        <w:ind w:left="1780"/>
      </w:pPr>
      <w:r>
        <w:t xml:space="preserve">выберите в списке документ "Направление на медико-социальную экспертизу",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62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63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43" name="" descr="_scroll_external/attachments/image2022-4-27_10-46-46-7e62e9b1caf053503c1f6b9404421536dc8529430a486ecea9125d78f3273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63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44" name="" descr="_scroll_external/attachments/image2022-4-27_10-52-27-8adae2e3125fd49cf00053321be14abdb0a6cbd735b8c8bb0a50c0aa2b288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59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6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4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6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– Запрещена отправка на регистрацию в РЭМД последующих версий документа, если один экземпляр документа уже отправлен и зарегистрирован в РЭМД. Перед отправкой единственной актуальной версии документа в РЭМД удалите его неактуальные версии.</w:t>
            </w:r>
          </w:p>
        </w:tc>
      </w:tr>
    </w:tbl>
    <w:p/>
    <w:p w:rsidRPr="00E16162">
      <w:pPr>
        <w:pStyle w:val="Heading2"/>
        <w:ind w:left="851"/>
      </w:pPr>
      <w:bookmarkStart w:id="23" w:name="scroll-bookmark-13"/>
      <w:bookmarkStart w:id="24" w:name="_Toc256000010"/>
      <w:r w:rsidRPr="00E16162">
        <w:t>Автоматическая отправка СЭМД на регистрацию в РЭМД</w:t>
      </w:r>
      <w:bookmarkEnd w:id="24"/>
      <w:bookmarkEnd w:id="23"/>
    </w:p>
    <w:p w:rsidRPr="00E16162">
      <w:r w:rsidRPr="00E16162"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:rsidRPr="00E16162">
      <w:r w:rsidRPr="00E16162"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:rsidRPr="00E16162">
      <w:pPr>
        <w:pStyle w:val="Heading2"/>
        <w:ind w:left="851"/>
      </w:pPr>
      <w:bookmarkStart w:id="25" w:name="scroll-bookmark-14"/>
      <w:bookmarkStart w:id="26" w:name="_Toc256000011"/>
      <w:r w:rsidRPr="00E16162">
        <w:t>Отслеживание ответа от РЭМД о регистрации СЭМД</w:t>
      </w:r>
      <w:bookmarkEnd w:id="26"/>
      <w:bookmarkEnd w:id="25"/>
    </w:p>
    <w:p w:rsidRPr="00E16162">
      <w:r w:rsidRPr="00E16162"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 w:rsidRPr="00E16162">
      <w:pPr>
        <w:pStyle w:val="Caption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7" w:name="scroll-bookmark-15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27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9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Pr="00E16162">
      <w:pPr>
        <w:pStyle w:val="Heading1"/>
        <w:ind w:left="851"/>
      </w:pPr>
      <w:bookmarkStart w:id="28" w:name="scroll-bookmark-16"/>
      <w:bookmarkStart w:id="29" w:name="_Toc256000012"/>
      <w:r w:rsidRPr="00E16162">
        <w:t>Учет направлений на МСЭ и ответов от Бюро. Интеграция с РЭМД. СЭМД "Направление на медико-социальную экспертизу"</w:t>
      </w:r>
      <w:bookmarkEnd w:id="29"/>
      <w:bookmarkEnd w:id="28"/>
    </w:p>
    <w:p w:rsidRPr="00E16162">
      <w:r w:rsidRPr="00E16162">
        <w:rPr>
          <w:color w:val="172B4D"/>
        </w:rPr>
        <w:t>Форма "Учет направлений на МСЭ и ответов от Бюро" предназначена для своевременного получения информации о подписании документа "Направление на МСЭ" всеми участниками ВК, в том числе Бюро МСЭ.</w:t>
      </w:r>
    </w:p>
    <w:p>
      <w:r>
        <w:rPr>
          <w:color w:val="172B4D"/>
        </w:rPr>
        <w:t>Для просмотра формы выполните следующие действия:</w:t>
      </w:r>
    </w:p>
    <w:p>
      <w:pPr>
        <w:pStyle w:val="ScrollListBullet"/>
        <w:numPr>
          <w:ilvl w:val="0"/>
          <w:numId w:val="65"/>
        </w:numPr>
        <w:ind w:left="1780"/>
      </w:pPr>
      <w:r>
        <w:rPr>
          <w:color w:val="172B4D"/>
        </w:rPr>
        <w:t>перейдите в пункт главного меню "Учет" → "Учет направлений на МСЭ и ответов от Бюро". Откроется форма "Учет направлений на МСЭ и ответов от Бюро";</w:t>
      </w:r>
    </w:p>
    <w:p>
      <w:pPr>
        <w:jc w:val="center"/>
      </w:pPr>
      <w:r>
        <w:rPr>
          <w:color w:val="172B4D"/>
        </w:rPr>
        <w:drawing>
          <wp:inline>
            <wp:extent cx="6295390" cy="3652657"/>
            <wp:docPr id="100046" name="" descr="_scroll_external/attachments/image2024-1-15_12-31-49-65b49071fb02c3db8ca4df63c285a16d3befeb32c0f3239637897f56f9a10c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3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526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66"/>
        </w:numPr>
        <w:ind w:left="1780"/>
      </w:pPr>
      <w:r>
        <w:rPr>
          <w:color w:val="172B4D"/>
        </w:rPr>
        <w:t>заполните поля фильтра в верхней части формы в соответствии с таблицей ниже;</w:t>
      </w:r>
      <w:r>
        <w:t>Заполнение полей фильтра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фильтра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3955"/>
        <w:gridCol w:w="4557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0" w:name="scroll-bookmark-17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30"/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Фамилия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фамилию пациента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Имя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имя пациента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Отчество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отчество пациента вручную 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загрузки СЭМД в МИС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дат загрузки СЭМД в МИС с помощью календаря или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Участки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тип участка из выпадающего списка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Участок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участок из справочника "Участки"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данное поле доступно для заполнения после выбора значений "Выбранные" и "Отсутствует" в поле "Участки"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Пол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пол из выпадающего списка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направления на МСЭ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дат направлений на МСЭ с помощью календаря или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Возраст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возраста пациента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ФИО представителя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фамилию, имя, отчества представителя пациента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Диагноз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диагноз из справочника "Справочник МКБ-10"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Сведений о результатах проведенной МСЭ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дат сведений о результатах проведенной МСЭ с помощью календаря или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Статус направления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статус направления из выпадающего списка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Категория льгот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категорию льготы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№ направления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номер направления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Уведомления о причинах возврата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дат уведомления о причинах возврата с помощью календаря или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Направившая МО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направившую медицинскую организацию из справочника "Таблица МО"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Подразделение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подразделение из справочника "Подразделения ЛПУ"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Лечащий врач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лечащего врача из справочника "Персонал"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программы дополнительных обследований с... по...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диапазон дат программ дополнительных обследований с помощью календаря или вручную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9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Карта пациента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карту пациента вручную</w:t>
            </w:r>
          </w:p>
        </w:tc>
      </w:tr>
    </w:tbl>
    <w:p>
      <w:pPr>
        <w:pStyle w:val="ScrollListBullet"/>
        <w:numPr>
          <w:ilvl w:val="0"/>
          <w:numId w:val="66"/>
        </w:numPr>
        <w:ind w:left="1780"/>
      </w:pPr>
      <w:r w:rsidRPr="00E16162">
        <w:t xml:space="preserve">нажмите на кнопку "Найти". В блоке "Учет направлений на МСЭ и ответов от Бюро" отобразится сформированный список направлений на МСЭ и ответов от Бюро, удовлетворяющий </w:t>
      </w:r>
      <w:r w:rsidRPr="00E16162">
        <w:rPr>
          <w:color w:val="172B4D"/>
        </w:rPr>
        <w:t>заданным параметрам фильтра</w:t>
      </w:r>
      <w:r>
        <w:t>. В сформированном списке отображаются следующие данные в соответствующих столбцах:</w:t>
      </w:r>
    </w:p>
    <w:p>
      <w:pPr>
        <w:pStyle w:val="ScrollListBullet2"/>
        <w:numPr>
          <w:ilvl w:val="0"/>
          <w:numId w:val="68"/>
        </w:numPr>
        <w:ind w:left="2245"/>
      </w:pPr>
      <w:r>
        <w:t>"Пациент" – ФИО пациента, по которому было сформировано направление на МСЭ;</w:t>
      </w:r>
    </w:p>
    <w:p>
      <w:pPr>
        <w:pStyle w:val="ScrollListBullet2"/>
        <w:numPr>
          <w:ilvl w:val="0"/>
          <w:numId w:val="68"/>
        </w:numPr>
        <w:ind w:left="2245"/>
      </w:pPr>
      <w:r>
        <w:t>"Направление на МСЭ" </w:t>
      </w:r>
      <w:r>
        <w:rPr>
          <w:color w:val="172B4D"/>
        </w:rPr>
        <w:t>– номер направления на МСЭ</w:t>
      </w:r>
      <w:r>
        <w:t>;</w:t>
      </w:r>
    </w:p>
    <w:p>
      <w:pPr>
        <w:pStyle w:val="ScrollListBullet2"/>
        <w:numPr>
          <w:ilvl w:val="0"/>
          <w:numId w:val="68"/>
        </w:numPr>
        <w:ind w:left="2245"/>
      </w:pPr>
      <w:r>
        <w:t>"Статус" –</w:t>
      </w:r>
      <w:r>
        <w:rPr>
          <w:color w:val="172B4D"/>
        </w:rPr>
        <w:t> отображается информации о статусе, в котором находится документ "Направление на МСЭ" у каждого участника подписания;</w:t>
      </w:r>
    </w:p>
    <w:p>
      <w:pPr>
        <w:pStyle w:val="ScrollListBullet2"/>
        <w:numPr>
          <w:ilvl w:val="0"/>
          <w:numId w:val="68"/>
        </w:numPr>
        <w:ind w:left="2245"/>
      </w:pPr>
      <w:r>
        <w:t>"Комментарий" – </w:t>
      </w:r>
      <w:r>
        <w:rPr>
          <w:color w:val="172B4D"/>
        </w:rPr>
        <w:t>комментарий врача, указанный в направлении</w:t>
      </w:r>
      <w:r>
        <w:t>;</w:t>
      </w:r>
    </w:p>
    <w:p>
      <w:pPr>
        <w:pStyle w:val="ScrollListBullet2"/>
        <w:numPr>
          <w:ilvl w:val="0"/>
          <w:numId w:val="68"/>
        </w:numPr>
        <w:ind w:left="2245"/>
      </w:pPr>
      <w:r>
        <w:t>"Дата направления" </w:t>
      </w:r>
      <w:r>
        <w:rPr>
          <w:color w:val="172B4D"/>
        </w:rPr>
        <w:t>– если документ подписан (см. в поле "Статус"). Если документ не подписан или его нет, то отображается дата оказания услуги медосмотра</w:t>
      </w:r>
      <w:r>
        <w:t>;</w:t>
      </w:r>
    </w:p>
    <w:p>
      <w:pPr>
        <w:pStyle w:val="ScrollListBullet2"/>
        <w:numPr>
          <w:ilvl w:val="0"/>
          <w:numId w:val="68"/>
        </w:numPr>
        <w:ind w:left="2245"/>
      </w:pPr>
      <w:r>
        <w:t>"Диагноз" – диагноз пациента;</w:t>
      </w:r>
    </w:p>
    <w:p>
      <w:pPr>
        <w:pStyle w:val="ScrollListBullet2"/>
        <w:numPr>
          <w:ilvl w:val="0"/>
          <w:numId w:val="68"/>
        </w:numPr>
        <w:ind w:left="2245"/>
      </w:pPr>
      <w:r>
        <w:t>"Дата загрузки СЭМД в МИС" – дата формирования и загрузки СЭМД в МИС;</w:t>
      </w:r>
    </w:p>
    <w:p>
      <w:pPr>
        <w:pStyle w:val="ScrollListBullet2"/>
        <w:numPr>
          <w:ilvl w:val="0"/>
          <w:numId w:val="68"/>
        </w:numPr>
        <w:ind w:left="2245"/>
      </w:pPr>
      <w:r>
        <w:t>"Дата Уведомления о причинах возврата" – дата уведомления о причинах возврата;</w:t>
      </w:r>
    </w:p>
    <w:p>
      <w:pPr>
        <w:pStyle w:val="ScrollListBullet2"/>
        <w:numPr>
          <w:ilvl w:val="0"/>
          <w:numId w:val="68"/>
        </w:numPr>
        <w:ind w:left="2245"/>
      </w:pPr>
      <w:r>
        <w:t>"Дата программы дополнительных обследований" – дата проведения программы дополнительных обследований;</w:t>
      </w:r>
    </w:p>
    <w:p>
      <w:pPr>
        <w:pStyle w:val="ScrollListBullet2"/>
        <w:numPr>
          <w:ilvl w:val="0"/>
          <w:numId w:val="68"/>
        </w:numPr>
        <w:ind w:left="2245"/>
      </w:pPr>
      <w:r>
        <w:t>"Дата Сведений о результатах проведенной МСЭ"</w:t>
      </w:r>
    </w:p>
    <w:p>
      <w:pPr>
        <w:pStyle w:val="ScrollListBullet2"/>
        <w:numPr>
          <w:ilvl w:val="0"/>
          <w:numId w:val="68"/>
        </w:numPr>
        <w:ind w:left="2245"/>
      </w:pPr>
      <w:r>
        <w:t>"Инвалидность" – инвалидность пациента (если имеется);</w:t>
      </w:r>
    </w:p>
    <w:p>
      <w:pPr>
        <w:pStyle w:val="ScrollListBullet2"/>
        <w:numPr>
          <w:ilvl w:val="0"/>
          <w:numId w:val="68"/>
        </w:numPr>
        <w:ind w:left="2245"/>
      </w:pPr>
      <w:r>
        <w:t>"Направившая МО" – направившая медицинская организация;</w:t>
      </w:r>
    </w:p>
    <w:p>
      <w:pPr>
        <w:pStyle w:val="ScrollListBullet2"/>
        <w:numPr>
          <w:ilvl w:val="0"/>
          <w:numId w:val="68"/>
        </w:numPr>
        <w:ind w:left="2245"/>
      </w:pPr>
      <w:r>
        <w:t>"Лечащий врач" – ФИО врача, о</w:t>
      </w:r>
      <w:r>
        <w:rPr>
          <w:color w:val="333333"/>
        </w:rPr>
        <w:t>казавшего услугу в рамках текущей карты медосмотра. Если услуга не найдена или не оказана, поле не заполняется;</w:t>
      </w:r>
    </w:p>
    <w:p>
      <w:pPr>
        <w:pStyle w:val="ScrollListBullet2"/>
        <w:numPr>
          <w:ilvl w:val="0"/>
          <w:numId w:val="68"/>
        </w:numPr>
        <w:ind w:left="2245"/>
      </w:pPr>
      <w:r>
        <w:t>"Пропущенное (отмененное) направление" – выводится номер ИПРА.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нижней части формы 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Учет направлений на МСЭ и ответов от Бюро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отображается суммарная информация по всем записям сформированного страницы учета:</w:t>
            </w:r>
          </w:p>
          <w:p>
            <w:pPr>
              <w:pStyle w:val="ScrollListBullet"/>
              <w:numPr>
                <w:ilvl w:val="0"/>
                <w:numId w:val="6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"Всего" – количество записей в сформированном учете;</w:t>
            </w:r>
          </w:p>
          <w:p>
            <w:pPr>
              <w:pStyle w:val="ScrollListBullet"/>
              <w:numPr>
                <w:ilvl w:val="0"/>
                <w:numId w:val="6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"Всего в процессе регистрации" – общее количество СЭМД, отправленных на регистрацию в РЭМД, но ответ по которым еще не поступил;</w:t>
            </w:r>
          </w:p>
          <w:p>
            <w:pPr>
              <w:pStyle w:val="ScrollListBullet"/>
              <w:numPr>
                <w:ilvl w:val="0"/>
                <w:numId w:val="6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"Всего зарегистрировано в РЭМД" – общее количество СЭМД, отправленных на регистрацию в РЭМД и по которым поступил ответ об успешной регистрации;</w:t>
            </w:r>
          </w:p>
          <w:p>
            <w:pPr>
              <w:pStyle w:val="ScrollListBullet"/>
              <w:numPr>
                <w:ilvl w:val="0"/>
                <w:numId w:val="6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"Всего отказано в регистрации" – общее количество СЭМД, отправленных на регистрацию в РЭМД и по которым поступил ответ об отказе в регистрации из-за выявления ошибок;</w:t>
            </w:r>
          </w:p>
          <w:p>
            <w:pPr>
              <w:pStyle w:val="ScrollListBullet"/>
              <w:numPr>
                <w:ilvl w:val="0"/>
                <w:numId w:val="69"/>
              </w:numPr>
              <w:ind w:left="17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"Не отправлен на регистрацию" – общее количество СЭМД, сформированных, но еще не отправленных на регистрацию в РЭМД.</w:t>
            </w:r>
          </w:p>
        </w:tc>
      </w:tr>
    </w:tbl>
    <w:p/>
    <w:p w:rsidRPr="00E16162">
      <w:r w:rsidRPr="00E16162">
        <w:rPr>
          <w:color w:val="172B4D"/>
        </w:rPr>
        <w:t>При необходимости данные в сформированном листе учета могут быть дополнительно сгруппированы по какому-либо столбцу. Для этого нажмите на заголовок столбца, Система автоматически сгруппирует данные ранее сформированного журнала. Для просмотра списка записей, вошедших в блок группировки, нажмите на кнопку </w:t>
      </w:r>
      <w:r>
        <w:rPr>
          <w:color w:val="172B4D"/>
        </w:rPr>
        <w:drawing>
          <wp:inline>
            <wp:extent cx="171450" cy="171450"/>
            <wp:docPr id="100047" name="" descr="_scroll_external/attachments/image2021-1-14_10-24-14-e5fc0e57b1daf377a0bc7d1ed909ec524bd0794c4da1fd5abdff6fb83d54e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94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, для скрытия – нажмите на кнопку </w:t>
      </w:r>
      <w:r>
        <w:rPr>
          <w:color w:val="172B4D"/>
        </w:rPr>
        <w:drawing>
          <wp:inline>
            <wp:extent cx="171450" cy="171450"/>
            <wp:docPr id="100048" name="" descr="_scroll_external/attachments/image2021-1-14_10-24-52-e7af5bb226524027655f732ef1d4372c0fe229764e5c2ca6ec8acf32240c8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02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Для отмены группировки данных на листе учета нажмите на название столбца на панели "Группировка".</w:t>
      </w:r>
    </w:p>
    <w:p>
      <w:pPr>
        <w:jc w:val="center"/>
      </w:pPr>
      <w:r>
        <w:rPr>
          <w:color w:val="172B4D"/>
        </w:rPr>
        <w:drawing>
          <wp:inline>
            <wp:extent cx="6295390" cy="1596182"/>
            <wp:docPr id="100049" name="" descr="_scroll_external/attachments/image2024-1-15_17-56-34-08b1e5854cdc4a2e73752b71e8750dc6a0f7d9099edea383006313ea24be3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55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9618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Сформированная страница учета может быть выгружена в файл формата .xls. Для этого нажмите на кнопку </w:t>
      </w:r>
    </w:p>
    <w:p>
      <w:pPr>
        <w:spacing w:beforeAutospacing="1"/>
      </w:pPr>
      <w:r>
        <w:drawing>
          <wp:inline>
            <wp:extent cx="190500" cy="180975"/>
            <wp:docPr id="100050" name="" descr="_scroll_external/attachments/image2023-5-18_10-23-19-46f2d0b90b7359e04eae5f17cce160629d0d2130273724430fa2e4a7b2c97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00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, расположенную на панели инструментов блока "</w:t>
      </w:r>
      <w:r>
        <w:rPr>
          <w:color w:val="172B4D"/>
        </w:rPr>
        <w:t>Учет направлений на МСЭ и ответов от Бюро</w:t>
      </w:r>
      <w:r>
        <w:t>". Откроется окно сохранения файла на компьютер текущего пользователя. </w:t>
      </w:r>
    </w:p>
    <w:p>
      <w:r>
        <w:t>Предусмотрено два варианта выгрузки данных в файл формата .xls:</w:t>
      </w:r>
    </w:p>
    <w:p>
      <w:pPr>
        <w:pStyle w:val="ScrollListBullet"/>
        <w:numPr>
          <w:ilvl w:val="0"/>
          <w:numId w:val="70"/>
        </w:numPr>
        <w:ind w:left="1780"/>
      </w:pPr>
      <w:r>
        <w:t>"Выгрузить в Excel видимые данные" – в данном случае выгружаются только видимые записи сформированного отчета (при наличии группировок и частично раскрытых списков);</w:t>
      </w:r>
    </w:p>
    <w:p>
      <w:pPr>
        <w:pStyle w:val="ScrollListBullet"/>
        <w:numPr>
          <w:ilvl w:val="0"/>
          <w:numId w:val="70"/>
        </w:numPr>
        <w:ind w:left="1780"/>
      </w:pPr>
      <w:r>
        <w:t>"Выгрузить в Excel все данные" – в данном случае выгружаются полностью все записи сформированного отчета.</w:t>
      </w:r>
    </w:p>
    <w:p>
      <w:r>
        <w:t>Сформированный журнал может быть выведен на печать или выгружен в файл формата .pdf. Для этого выполните следующие действия:</w:t>
      </w:r>
    </w:p>
    <w:p>
      <w:pPr>
        <w:pStyle w:val="ScrollListBullet"/>
        <w:numPr>
          <w:ilvl w:val="0"/>
          <w:numId w:val="71"/>
        </w:numPr>
        <w:ind w:left="1780"/>
      </w:pPr>
      <w:r>
        <w:t>нажмите на кнопку </w:t>
      </w:r>
    </w:p>
    <w:p>
      <w:pPr>
        <w:pStyle w:val="ScrollListBullet"/>
        <w:numPr>
          <w:ilvl w:val="0"/>
          <w:numId w:val="0"/>
        </w:numPr>
        <w:spacing w:beforeAutospacing="1"/>
        <w:ind w:left="1316"/>
      </w:pPr>
      <w:r>
        <w:drawing>
          <wp:inline>
            <wp:extent cx="219075" cy="180975"/>
            <wp:docPr id="100051" name="" descr="_scroll_external/attachments/image2023-5-18_10-24-28-e1cabf2d6e47a645fcdd38bfbebbfe69ba69c72b9eeb7a919c297eab24f7e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3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0"/>
        </w:numPr>
        <w:spacing w:beforeAutospacing="1"/>
        <w:ind w:left="1316"/>
      </w:pPr>
      <w:r>
        <w:t>, расположенную на панели инструментов блока "</w:t>
      </w:r>
      <w:r>
        <w:rPr>
          <w:color w:val="172B4D"/>
        </w:rPr>
        <w:t>Учет направлений на МСЭ и ответов от Бюро</w:t>
      </w:r>
      <w:r>
        <w:t>". Откроется окно предварительного просмотра;</w:t>
      </w:r>
    </w:p>
    <w:p>
      <w:pPr>
        <w:keepNext/>
        <w:spacing w:beforeAutospacing="1"/>
        <w:jc w:val="center"/>
      </w:pPr>
      <w:r>
        <w:drawing>
          <wp:inline>
            <wp:extent cx="6295390" cy="3714565"/>
            <wp:docPr id="100052" name="" descr="Окно предварительного пр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1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45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Окно предварительного просмотра</w:t>
      </w:r>
    </w:p>
    <w:p/>
    <w:p>
      <w:pPr>
        <w:pStyle w:val="ScrollListBullet"/>
        <w:numPr>
          <w:ilvl w:val="0"/>
          <w:numId w:val="73"/>
        </w:numPr>
        <w:ind w:left="1780"/>
        <w:jc w:val="left"/>
      </w:pPr>
      <w:r>
        <w:t>выберите при необходимости одно из следующих действий:</w:t>
      </w:r>
    </w:p>
    <w:p>
      <w:pPr>
        <w:pStyle w:val="ScrollListBullet2"/>
        <w:numPr>
          <w:ilvl w:val="0"/>
          <w:numId w:val="74"/>
        </w:numPr>
        <w:ind w:left="2245"/>
        <w:jc w:val="left"/>
      </w:pPr>
      <w:r>
        <w:t>для выгрузки сформированного сводного отчета в файл формата .pdf </w:t>
      </w:r>
      <w:r>
        <w:rPr>
          <w:color w:val="000000"/>
        </w:rPr>
        <w:t>нажмите на кнопку "PDF". Откроется окно сохранения файла на компьютер текущего пользователя;</w:t>
      </w:r>
    </w:p>
    <w:p>
      <w:pPr>
        <w:pStyle w:val="ScrollListBullet2"/>
        <w:numPr>
          <w:ilvl w:val="0"/>
          <w:numId w:val="74"/>
        </w:numPr>
        <w:ind w:left="2245"/>
        <w:jc w:val="left"/>
      </w:pPr>
      <w:r>
        <w:rPr>
          <w:color w:val="000000"/>
        </w:rPr>
        <w:t>для вывода сформированного сводного отчета на печать задайте параметры печати, описанные в таблице ниже, и нажмите на кнопку "Печать".</w:t>
      </w:r>
      <w:r>
        <w:rPr>
          <w:color w:val="000000"/>
        </w:rPr>
        <w:br/>
      </w:r>
      <w:r>
        <w:t>Параметры печати</w:t>
      </w:r>
    </w:p>
    <w:p>
      <w:pPr>
        <w:pStyle w:val="Caption"/>
        <w:keepNext/>
        <w:numPr>
          <w:ilvl w:val="0"/>
          <w:numId w:val="0"/>
        </w:numPr>
        <w:ind w:left="1780"/>
        <w:jc w:val="left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Параметры печати</w:t>
      </w:r>
    </w:p>
    <w:tbl>
      <w:tblPr>
        <w:tblStyle w:val="ScrollTableNormal"/>
        <w:tblW w:w="0" w:type="auto"/>
        <w:tblInd w:w="1780" w:type="dxa"/>
        <w:tblLayout w:type="fixed"/>
        <w:tblLook w:val="0020"/>
      </w:tblPr>
      <w:tblGrid>
        <w:gridCol w:w="1708"/>
        <w:gridCol w:w="6345"/>
      </w:tblGrid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1" w:name="scroll-bookmark-1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Поле</w:t>
            </w:r>
            <w:bookmarkEnd w:id="31"/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0" cy="0"/>
                  <wp:docPr id="100053" name="" descr="_scroll_external/attachments/image2023-6-13_17-28-21-9b40bad123a39028f3b14a321d3d6bbdfcc937c411206d08280bb84131c06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6576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выпадающего списка размер листа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0" cy="0"/>
                  <wp:docPr id="100054" name="" descr="_scroll_external/attachments/image2023-6-13_17-29-51-d33163ab500a63835b97833e7369a5e45eedc768afe8e2af30b87cf0fd6d5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2690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выпадающего списка ориентацию листа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0" cy="0"/>
                  <wp:docPr id="100055" name="" descr="_scroll_external/attachments/image2023-6-13_17-30-34-50bd2d3ccdc376bc756bad6b0226ccc887814cb2b571f3bf26ae20e0742f2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6386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вручную необходимые отступы между текстом и границами листа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0" cy="0"/>
                  <wp:docPr id="100056" name="" descr="_scroll_external/attachments/image2023-6-13_17-31-24-ca506e5e05d00c0d1c253376826c9f71ebf3349871c50cdcdc498236ab576b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4372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при печати необходимо уместить данные отчета по ширине одного листа</w:t>
            </w: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170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0" cy="0"/>
                  <wp:docPr id="100057" name="" descr="_scroll_external/attachments/image2023-6-13_17-31-41-ca50081c887bfe42fa0aab7f231f96bcaeb1d4f5835baddd56d2783a7edc5a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2498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при печати необходимо развернуть заголовки столбцов на 90 градусов (т.е. названия столбцов при печати будут размещены вертикально)</w:t>
            </w:r>
          </w:p>
        </w:tc>
      </w:tr>
    </w:tbl>
    <w:p w:rsidR="00DC0166" w:rsidP="00325D12">
      <w:pPr>
        <w:rPr>
          <w:noProof/>
        </w:rPr>
        <w:sectPr w:rsidSect="00DC0166">
          <w:headerReference w:type="default" r:id="rId52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53"/>
      <w:footerReference w:type="default" r:id="rId54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47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49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https://conf.bars.group/x/rtxrCw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"Направление на медико-социальную экспертизу"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579688D"/>
    <w:multiLevelType w:val="hybridMultilevel"/>
    <w:tmpl w:val="7579688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hybridMultilevel"/>
    <w:tmpl w:val="7579689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hybridMultilevel"/>
    <w:tmpl w:val="7579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hybridMultilevel"/>
    <w:tmpl w:val="757968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>
    <w:nsid w:val="7579689C"/>
    <w:multiLevelType w:val="hybridMultilevel"/>
    <w:tmpl w:val="7579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yperlink" Target="https://conf.bars.group/pages/viewpage.action?pageId=167838486" TargetMode="External" /><Relationship Id="rId15" Type="http://schemas.openxmlformats.org/officeDocument/2006/relationships/hyperlink" Target="https://conf.bars.group/pages/viewpage.action?pageId=166444921" TargetMode="External" /><Relationship Id="rId16" Type="http://schemas.openxmlformats.org/officeDocument/2006/relationships/image" Target="media/image5.jpeg" /><Relationship Id="rId17" Type="http://schemas.openxmlformats.org/officeDocument/2006/relationships/hyperlink" Target="https://conf.bars.group/pages/viewpage.action?pageId=167843676" TargetMode="External" /><Relationship Id="rId18" Type="http://schemas.openxmlformats.org/officeDocument/2006/relationships/hyperlink" Target="https://conf.bars.group/pages/viewpage.action?pageId=134432288" TargetMode="External" /><Relationship Id="rId19" Type="http://schemas.openxmlformats.org/officeDocument/2006/relationships/hyperlink" Target="https://conf.bars.group/pages/viewpage.action?pageId=83220345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conf.bars.group/pages/viewpage.action?pageId=134417139" TargetMode="External" /><Relationship Id="rId21" Type="http://schemas.openxmlformats.org/officeDocument/2006/relationships/hyperlink" Target="https://conf.bars.group/pages/viewpage.action?pageId=146158463" TargetMode="External" /><Relationship Id="rId22" Type="http://schemas.openxmlformats.org/officeDocument/2006/relationships/image" Target="media/image6.png" /><Relationship Id="rId23" Type="http://schemas.openxmlformats.org/officeDocument/2006/relationships/image" Target="media/image7.png" /><Relationship Id="rId24" Type="http://schemas.openxmlformats.org/officeDocument/2006/relationships/image" Target="media/image8.png" /><Relationship Id="rId25" Type="http://schemas.openxmlformats.org/officeDocument/2006/relationships/image" Target="media/image9.png" /><Relationship Id="rId26" Type="http://schemas.openxmlformats.org/officeDocument/2006/relationships/image" Target="media/image10.png" /><Relationship Id="rId27" Type="http://schemas.openxmlformats.org/officeDocument/2006/relationships/image" Target="media/image11.png" /><Relationship Id="rId28" Type="http://schemas.openxmlformats.org/officeDocument/2006/relationships/hyperlink" Target="https://nsi.rosminzdrav.ru/#!/refbook/1.2.643.5.1.13.13.99.2.42" TargetMode="External" /><Relationship Id="rId29" Type="http://schemas.openxmlformats.org/officeDocument/2006/relationships/image" Target="media/image12.png" /><Relationship Id="rId3" Type="http://schemas.openxmlformats.org/officeDocument/2006/relationships/fontTable" Target="fontTable.xml" /><Relationship Id="rId30" Type="http://schemas.openxmlformats.org/officeDocument/2006/relationships/image" Target="media/image13.png" /><Relationship Id="rId31" Type="http://schemas.openxmlformats.org/officeDocument/2006/relationships/image" Target="media/image14.png" /><Relationship Id="rId32" Type="http://schemas.openxmlformats.org/officeDocument/2006/relationships/image" Target="media/image15.png" /><Relationship Id="rId33" Type="http://schemas.openxmlformats.org/officeDocument/2006/relationships/image" Target="media/image16.png" /><Relationship Id="rId34" Type="http://schemas.openxmlformats.org/officeDocument/2006/relationships/image" Target="media/image17.png" /><Relationship Id="rId35" Type="http://schemas.openxmlformats.org/officeDocument/2006/relationships/image" Target="media/image18.png" /><Relationship Id="rId36" Type="http://schemas.openxmlformats.org/officeDocument/2006/relationships/image" Target="media/image19.png" /><Relationship Id="rId37" Type="http://schemas.openxmlformats.org/officeDocument/2006/relationships/image" Target="media/image20.png" /><Relationship Id="rId38" Type="http://schemas.openxmlformats.org/officeDocument/2006/relationships/image" Target="media/image21.png" /><Relationship Id="rId39" Type="http://schemas.openxmlformats.org/officeDocument/2006/relationships/hyperlink" Target="https://nsi.rosminzdrav.ru/#!/refbook/1.2.643.5.1.13.13.99.2.305/version/3.6" TargetMode="External" /><Relationship Id="rId4" Type="http://schemas.openxmlformats.org/officeDocument/2006/relationships/customXml" Target="../customXml/item1.xml" /><Relationship Id="rId40" Type="http://schemas.openxmlformats.org/officeDocument/2006/relationships/image" Target="media/image22.png" /><Relationship Id="rId41" Type="http://schemas.openxmlformats.org/officeDocument/2006/relationships/image" Target="media/image23.png" /><Relationship Id="rId42" Type="http://schemas.openxmlformats.org/officeDocument/2006/relationships/image" Target="media/image24.png" /><Relationship Id="rId43" Type="http://schemas.openxmlformats.org/officeDocument/2006/relationships/image" Target="media/image25.png" /><Relationship Id="rId44" Type="http://schemas.openxmlformats.org/officeDocument/2006/relationships/image" Target="media/image26.png" /><Relationship Id="rId45" Type="http://schemas.openxmlformats.org/officeDocument/2006/relationships/image" Target="media/image27.png" /><Relationship Id="rId46" Type="http://schemas.openxmlformats.org/officeDocument/2006/relationships/image" Target="media/image28.png" /><Relationship Id="rId47" Type="http://schemas.openxmlformats.org/officeDocument/2006/relationships/image" Target="media/image29.png" /><Relationship Id="rId48" Type="http://schemas.openxmlformats.org/officeDocument/2006/relationships/image" Target="media/image30.png" /><Relationship Id="rId49" Type="http://schemas.openxmlformats.org/officeDocument/2006/relationships/image" Target="media/image31.png" /><Relationship Id="rId5" Type="http://schemas.openxmlformats.org/officeDocument/2006/relationships/header" Target="header1.xml" /><Relationship Id="rId50" Type="http://schemas.openxmlformats.org/officeDocument/2006/relationships/image" Target="media/image32.png" /><Relationship Id="rId51" Type="http://schemas.openxmlformats.org/officeDocument/2006/relationships/image" Target="media/image33.png" /><Relationship Id="rId52" Type="http://schemas.openxmlformats.org/officeDocument/2006/relationships/header" Target="header3.xml" /><Relationship Id="rId53" Type="http://schemas.openxmlformats.org/officeDocument/2006/relationships/header" Target="header4.xml" /><Relationship Id="rId54" Type="http://schemas.openxmlformats.org/officeDocument/2006/relationships/footer" Target="footer4.xml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rtxr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49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